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D31" w:rsidRPr="002E4D31" w:rsidRDefault="002E4D31" w:rsidP="002E4D31">
      <w:pPr>
        <w:shd w:val="clear" w:color="auto" w:fill="FFFFFF"/>
        <w:spacing w:before="75" w:after="150" w:line="240" w:lineRule="auto"/>
        <w:jc w:val="center"/>
        <w:outlineLvl w:val="0"/>
        <w:rPr>
          <w:rFonts w:eastAsia="Times New Roman" w:cs="Times New Roman"/>
          <w:b/>
          <w:bCs/>
          <w:color w:val="005284"/>
          <w:kern w:val="36"/>
          <w:szCs w:val="28"/>
        </w:rPr>
      </w:pPr>
      <w:r w:rsidRPr="002E4D31">
        <w:rPr>
          <w:rFonts w:eastAsia="Times New Roman" w:cs="Times New Roman"/>
          <w:b/>
          <w:bCs/>
          <w:color w:val="005284"/>
          <w:kern w:val="36"/>
          <w:szCs w:val="28"/>
        </w:rPr>
        <w:t>Một số chính sách mới có hiệu lực từ tháng 4/2024</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Pr>
          <w:rFonts w:eastAsia="Times New Roman" w:cs="Times New Roman"/>
          <w:color w:val="333333"/>
          <w:szCs w:val="28"/>
        </w:rPr>
        <w:t>Trong tháng 04/2024 có một số chính sách mới có hiệu lực như: Điều kiện xét giải thưởng Hồ Chí Minh và giải thưởng Nhà nước về khoa học và công nghệ’  Q</w:t>
      </w:r>
      <w:r w:rsidRPr="002E4D31">
        <w:rPr>
          <w:rFonts w:eastAsia="Times New Roman" w:cs="Times New Roman"/>
          <w:color w:val="333333"/>
          <w:szCs w:val="28"/>
        </w:rPr>
        <w:t xml:space="preserve">uy định mới về về thang lương, bảng lương, phụ cấp lương với người lao động trong công ty Nhà nước nắm giữ 100% vốn điều lệ... </w:t>
      </w:r>
      <w:r>
        <w:rPr>
          <w:rFonts w:eastAsia="Times New Roman" w:cs="Times New Roman"/>
          <w:color w:val="333333"/>
          <w:szCs w:val="28"/>
        </w:rPr>
        <w:t>cụ thể như sau:</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Pr>
          <w:rFonts w:eastAsia="Times New Roman" w:cs="Times New Roman"/>
          <w:b/>
          <w:bCs/>
          <w:color w:val="333333"/>
          <w:szCs w:val="28"/>
        </w:rPr>
        <w:t xml:space="preserve">1. </w:t>
      </w:r>
      <w:r w:rsidRPr="002E4D31">
        <w:rPr>
          <w:rFonts w:eastAsia="Times New Roman" w:cs="Times New Roman"/>
          <w:b/>
          <w:bCs/>
          <w:color w:val="333333"/>
          <w:szCs w:val="28"/>
        </w:rPr>
        <w:t>Điều kiện xét tặng Giải thưởng Hồ Chí Minh và Giải thưởng Nhà nước về khoa học và công nghệ</w:t>
      </w:r>
      <w:r>
        <w:rPr>
          <w:rFonts w:eastAsia="Times New Roman" w:cs="Times New Roman"/>
          <w:color w:val="333333"/>
          <w:szCs w:val="28"/>
        </w:rPr>
        <w:t xml:space="preserve">. </w:t>
      </w:r>
      <w:r w:rsidRPr="002E4D31">
        <w:rPr>
          <w:rFonts w:eastAsia="Times New Roman" w:cs="Times New Roman"/>
          <w:color w:val="333333"/>
          <w:szCs w:val="28"/>
        </w:rPr>
        <w:t>Nghị định số 18/2024/NĐ-CP ngày 21/2/2024 của Chính phủ quy định chi tiết điều kiện xét tặng Giải thưởng Hồ Chí Minh và Giải thưởng Nhà nước về khoa học và công nghệ có</w:t>
      </w:r>
      <w:r>
        <w:rPr>
          <w:rFonts w:eastAsia="Times New Roman" w:cs="Times New Roman"/>
          <w:color w:val="333333"/>
          <w:szCs w:val="28"/>
        </w:rPr>
        <w:t xml:space="preserve"> hiệu lực kể từ ngày 10/4/2024.</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sidRPr="002E4D31">
        <w:rPr>
          <w:rFonts w:eastAsia="Times New Roman" w:cs="Times New Roman"/>
          <w:color w:val="333333"/>
          <w:szCs w:val="28"/>
        </w:rPr>
        <w:t>Theo quy định, đối với tác giả: Trực tiếp sáng tạo, đóng góp vào giá trị khoa học và công nghệ của công trình; không vi phạm quy định tại Điều 8 Luật Khoa học và công n</w:t>
      </w:r>
      <w:r>
        <w:rPr>
          <w:rFonts w:eastAsia="Times New Roman" w:cs="Times New Roman"/>
          <w:color w:val="333333"/>
          <w:szCs w:val="28"/>
        </w:rPr>
        <w:t>ghệ và đáp ứng điều kiện sau:</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Pr>
          <w:rFonts w:eastAsia="Times New Roman" w:cs="Times New Roman"/>
          <w:color w:val="333333"/>
          <w:szCs w:val="28"/>
        </w:rPr>
        <w:t xml:space="preserve">- </w:t>
      </w:r>
      <w:r w:rsidRPr="002E4D31">
        <w:rPr>
          <w:rFonts w:eastAsia="Times New Roman" w:cs="Times New Roman"/>
          <w:color w:val="333333"/>
          <w:szCs w:val="28"/>
        </w:rPr>
        <w:t xml:space="preserve">Đối với người Việt Nam: Chấp hành tốt chủ trương của Đảng, chính </w:t>
      </w:r>
      <w:r>
        <w:rPr>
          <w:rFonts w:eastAsia="Times New Roman" w:cs="Times New Roman"/>
          <w:color w:val="333333"/>
          <w:szCs w:val="28"/>
        </w:rPr>
        <w:t>sách, pháp luật của Nhà nước;</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Pr>
          <w:rFonts w:eastAsia="Times New Roman" w:cs="Times New Roman"/>
          <w:color w:val="333333"/>
          <w:szCs w:val="28"/>
        </w:rPr>
        <w:t xml:space="preserve">- </w:t>
      </w:r>
      <w:r w:rsidRPr="002E4D31">
        <w:rPr>
          <w:rFonts w:eastAsia="Times New Roman" w:cs="Times New Roman"/>
          <w:color w:val="333333"/>
          <w:szCs w:val="28"/>
        </w:rPr>
        <w:t>Đối với người nước ngoài: Tôn trọng độc lập, chủ quyền, thống nhất, toàn vẹn lãnh thổ, pháp luật và phong tục,</w:t>
      </w:r>
      <w:r>
        <w:rPr>
          <w:rFonts w:eastAsia="Times New Roman" w:cs="Times New Roman"/>
          <w:color w:val="333333"/>
          <w:szCs w:val="28"/>
        </w:rPr>
        <w:t xml:space="preserve"> tập quán tốt đẹp của Việt Nam.</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Pr>
          <w:rFonts w:eastAsia="Times New Roman" w:cs="Times New Roman"/>
          <w:color w:val="333333"/>
          <w:szCs w:val="28"/>
        </w:rPr>
        <w:t xml:space="preserve">- </w:t>
      </w:r>
      <w:r w:rsidRPr="002E4D31">
        <w:rPr>
          <w:rFonts w:eastAsia="Times New Roman" w:cs="Times New Roman"/>
          <w:color w:val="333333"/>
          <w:szCs w:val="28"/>
        </w:rPr>
        <w:t>Đối với công trình: Hồ sơ hợp lệ, được công bố theo quy định (trừ các công trình có nội dung liên quan đến bí mật nhà nước), h</w:t>
      </w:r>
      <w:r>
        <w:rPr>
          <w:rFonts w:eastAsia="Times New Roman" w:cs="Times New Roman"/>
          <w:color w:val="333333"/>
          <w:szCs w:val="28"/>
        </w:rPr>
        <w:t>oặc được ứng dụng tại Việt Nam;</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Pr>
          <w:rFonts w:eastAsia="Times New Roman" w:cs="Times New Roman"/>
          <w:color w:val="333333"/>
          <w:szCs w:val="28"/>
        </w:rPr>
        <w:t xml:space="preserve">- </w:t>
      </w:r>
      <w:r w:rsidRPr="002E4D31">
        <w:rPr>
          <w:rFonts w:eastAsia="Times New Roman" w:cs="Times New Roman"/>
          <w:color w:val="333333"/>
          <w:szCs w:val="28"/>
        </w:rPr>
        <w:t>Thời gian công trình được công bố hoặc ứng dụng trong thực tiễn ít nhất là 03 năm hoặc công trình được ứng dụng đổi mới sáng tạo có hiệu quả ít nhất 01 năm tính đến thời điểm nộp hồ sơ đề nghị xét tặng Giải thưởng Hồ Chí Minh, Giải thưởng Nhà</w:t>
      </w:r>
      <w:r>
        <w:rPr>
          <w:rFonts w:eastAsia="Times New Roman" w:cs="Times New Roman"/>
          <w:color w:val="333333"/>
          <w:szCs w:val="28"/>
        </w:rPr>
        <w:t xml:space="preserve"> nước về khoa học và công nghệ.</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sidRPr="001B42FA">
        <w:rPr>
          <w:rFonts w:eastAsia="Times New Roman" w:cs="Times New Roman"/>
          <w:b/>
          <w:color w:val="333333"/>
          <w:szCs w:val="28"/>
        </w:rPr>
        <w:t>2.</w:t>
      </w:r>
      <w:r>
        <w:rPr>
          <w:rFonts w:eastAsia="Times New Roman" w:cs="Times New Roman"/>
          <w:color w:val="333333"/>
          <w:szCs w:val="28"/>
        </w:rPr>
        <w:t xml:space="preserve"> </w:t>
      </w:r>
      <w:r w:rsidRPr="002E4D31">
        <w:rPr>
          <w:rFonts w:eastAsia="Times New Roman" w:cs="Times New Roman"/>
          <w:b/>
          <w:bCs/>
          <w:color w:val="333333"/>
          <w:szCs w:val="28"/>
        </w:rPr>
        <w:t>Quản lý hoạt động của phương tiện phục vụ vui chơi, giải trí dưới nước</w:t>
      </w:r>
      <w:r>
        <w:rPr>
          <w:rFonts w:eastAsia="Times New Roman" w:cs="Times New Roman"/>
          <w:color w:val="333333"/>
          <w:szCs w:val="28"/>
        </w:rPr>
        <w:t xml:space="preserve">. </w:t>
      </w:r>
      <w:r w:rsidRPr="002E4D31">
        <w:rPr>
          <w:rFonts w:eastAsia="Times New Roman" w:cs="Times New Roman"/>
          <w:color w:val="333333"/>
          <w:szCs w:val="28"/>
        </w:rPr>
        <w:t>Nghị định 19/2024/NĐ-CP sửa đổi, bổ sung một số điều của Nghị định số 48/2019/NĐ-CP ngày 05/6/2019 của Chính phủ quy định về quản lý hoạt động của phương tiện phục vụ vui chơi, giải trí dưới nước có hiệu lực kể từ 10/4/2024, trong đó, Nghị định sửa đổi, bổ sung Điều 19 cơ quan đăng ký phương tiện.</w:t>
      </w:r>
      <w:r w:rsidRPr="002E4D31">
        <w:rPr>
          <w:rFonts w:eastAsia="Times New Roman" w:cs="Times New Roman"/>
          <w:color w:val="333333"/>
          <w:szCs w:val="28"/>
        </w:rPr>
        <w:br/>
        <w:t xml:space="preserve">Cụ thể, Ủy ban nhân dân cấp huyện (quy định cũ UBND cấp tỉnh) tổ chức thực hiện, quản lý việc đăng ký, quản lý phương tiện phục vụ vui chơi, giải trí dưới nước thuộc diện phải đăng ký theo quy định tại Nghị định này và các quy định khác có liên quan của pháp </w:t>
      </w:r>
      <w:r>
        <w:rPr>
          <w:rFonts w:eastAsia="Times New Roman" w:cs="Times New Roman"/>
          <w:color w:val="333333"/>
          <w:szCs w:val="28"/>
        </w:rPr>
        <w:t xml:space="preserve">luật. </w:t>
      </w:r>
      <w:r w:rsidRPr="002E4D31">
        <w:rPr>
          <w:rFonts w:eastAsia="Times New Roman" w:cs="Times New Roman"/>
          <w:color w:val="333333"/>
          <w:szCs w:val="28"/>
        </w:rPr>
        <w:t>Ủy ban nhân dân cấp xã thực hiện quản lý phương tiện phục vụ vui chơi, giải t</w:t>
      </w:r>
      <w:r>
        <w:rPr>
          <w:rFonts w:eastAsia="Times New Roman" w:cs="Times New Roman"/>
          <w:color w:val="333333"/>
          <w:szCs w:val="28"/>
        </w:rPr>
        <w:t>rí dưới nước được miễn đăng ký.</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sidRPr="001B42FA">
        <w:rPr>
          <w:rFonts w:eastAsia="Times New Roman" w:cs="Times New Roman"/>
          <w:b/>
          <w:color w:val="333333"/>
          <w:szCs w:val="28"/>
        </w:rPr>
        <w:t>3.</w:t>
      </w:r>
      <w:r>
        <w:rPr>
          <w:rFonts w:eastAsia="Times New Roman" w:cs="Times New Roman"/>
          <w:color w:val="333333"/>
          <w:szCs w:val="28"/>
        </w:rPr>
        <w:t xml:space="preserve"> </w:t>
      </w:r>
      <w:r w:rsidRPr="002E4D31">
        <w:rPr>
          <w:rFonts w:eastAsia="Times New Roman" w:cs="Times New Roman"/>
          <w:b/>
          <w:bCs/>
          <w:color w:val="333333"/>
          <w:szCs w:val="28"/>
        </w:rPr>
        <w:t>Sửa quy định về thang lương, bảng lương, phụ cấp lương đối với người lao động trong công ty Nhà nước nắm giữ 100% vốn điều lệ</w:t>
      </w:r>
      <w:r w:rsidRPr="002E4D31">
        <w:rPr>
          <w:rFonts w:eastAsia="Times New Roman" w:cs="Times New Roman"/>
          <w:color w:val="333333"/>
          <w:szCs w:val="28"/>
        </w:rPr>
        <w:br/>
        <w:t>Có hiệu lực từ 10/4/2024, Nghị định số 21/2024/NĐ-CP ngày 23/2/2024 sửa đổi, bổ sung một số điều của Nghị định số 51/2016/NĐ-CP ngày 13/6/2016 quy định quản lý lao động, tiền lương và tiền thưởng đối với người lao động làm việc trong công ty trách nhiệm hữu hạn một thành viên do Nhà nước nắm giữ 100% vốn điều lệ và Nghị định số 52/2016/NĐ-CP ngày 13/6/2016 quy định tiền lương, thù lao, tiền thưởng đối với người quản lý công ty trách nhiệm hữu hạn một thành viên do Nhà</w:t>
      </w:r>
      <w:r>
        <w:rPr>
          <w:rFonts w:eastAsia="Times New Roman" w:cs="Times New Roman"/>
          <w:color w:val="333333"/>
          <w:szCs w:val="28"/>
        </w:rPr>
        <w:t xml:space="preserve"> nước nắm giữ 100% vốn điều lệ.  </w:t>
      </w:r>
      <w:r w:rsidRPr="002E4D31">
        <w:rPr>
          <w:rFonts w:eastAsia="Times New Roman" w:cs="Times New Roman"/>
          <w:color w:val="333333"/>
          <w:szCs w:val="28"/>
        </w:rPr>
        <w:t xml:space="preserve">Nghị định số 21/2024/NĐ-CP sửa đổi Điều 4 Nghị định số 51/2016/NĐ-CP về thang lương, bảng lương, phụ cấp lương đối </w:t>
      </w:r>
      <w:r w:rsidRPr="002E4D31">
        <w:rPr>
          <w:rFonts w:eastAsia="Times New Roman" w:cs="Times New Roman"/>
          <w:color w:val="333333"/>
          <w:szCs w:val="28"/>
        </w:rPr>
        <w:lastRenderedPageBreak/>
        <w:t>với người lao động làm việc trong công ty trách nhiệm hữu hạn một thành viên do Nhà</w:t>
      </w:r>
      <w:r>
        <w:rPr>
          <w:rFonts w:eastAsia="Times New Roman" w:cs="Times New Roman"/>
          <w:color w:val="333333"/>
          <w:szCs w:val="28"/>
        </w:rPr>
        <w:t xml:space="preserve"> nước nắm giữ 100% vốn điều lệ.</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sidRPr="002E4D31">
        <w:rPr>
          <w:rFonts w:eastAsia="Times New Roman" w:cs="Times New Roman"/>
          <w:color w:val="333333"/>
          <w:szCs w:val="28"/>
        </w:rPr>
        <w:t>Cụ thể, căn cứ vào tổ chức sản xuất, tổ chức lao động, công ty xây dựng và ban hành thang lương, bảng lương, phụ cấp lương làm cơ sở để xếp lương, trả lương và thực hiện các chế độ đối với người lao động theo q</w:t>
      </w:r>
      <w:r>
        <w:rPr>
          <w:rFonts w:eastAsia="Times New Roman" w:cs="Times New Roman"/>
          <w:color w:val="333333"/>
          <w:szCs w:val="28"/>
        </w:rPr>
        <w:t>uy định của pháp luật lao động.</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sidRPr="002E4D31">
        <w:rPr>
          <w:rFonts w:eastAsia="Times New Roman" w:cs="Times New Roman"/>
          <w:color w:val="333333"/>
          <w:szCs w:val="28"/>
        </w:rPr>
        <w:t>Các mức lương trong thang lương, bảng lương, phụ cấp lương do công ty quyết định, nhưng phải bảo đảm quỹ tiền lương tính theo các mức lương trong thang lương, bảng lương, phụ cấp lương không được vượt quá quỹ tiền lương kế hoạch củ</w:t>
      </w:r>
      <w:r>
        <w:rPr>
          <w:rFonts w:eastAsia="Times New Roman" w:cs="Times New Roman"/>
          <w:color w:val="333333"/>
          <w:szCs w:val="28"/>
        </w:rPr>
        <w:t xml:space="preserve">a người lao động theo quy định. </w:t>
      </w:r>
      <w:r w:rsidRPr="002E4D31">
        <w:rPr>
          <w:rFonts w:eastAsia="Times New Roman" w:cs="Times New Roman"/>
          <w:color w:val="333333"/>
          <w:szCs w:val="28"/>
        </w:rPr>
        <w:t>Khi xây dựng hoặc sửa đổi, bổ sung thang lương, bảng lương, phụ cấp lương, công ty phải tham khảo ý kiến của tổ chức đại diện người lao động tại cơ sở, tổ chức đối thoại tại nơi làm việc theo quy định, báo cáo cơ quan đại diện chủ sở hữu cho ý kiến và công khai t</w:t>
      </w:r>
      <w:r>
        <w:rPr>
          <w:rFonts w:eastAsia="Times New Roman" w:cs="Times New Roman"/>
          <w:color w:val="333333"/>
          <w:szCs w:val="28"/>
        </w:rPr>
        <w:t>ại công ty trước khi thực hiện.</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Pr>
          <w:rFonts w:eastAsia="Times New Roman" w:cs="Times New Roman"/>
          <w:b/>
          <w:bCs/>
          <w:color w:val="333333"/>
          <w:szCs w:val="28"/>
        </w:rPr>
        <w:t xml:space="preserve">3. </w:t>
      </w:r>
      <w:r w:rsidRPr="002E4D31">
        <w:rPr>
          <w:rFonts w:eastAsia="Times New Roman" w:cs="Times New Roman"/>
          <w:b/>
          <w:bCs/>
          <w:color w:val="333333"/>
          <w:szCs w:val="28"/>
        </w:rPr>
        <w:t>Trình tự, thủ tục xét tặng, truy tặng "Huy chươn</w:t>
      </w:r>
      <w:r>
        <w:rPr>
          <w:rFonts w:eastAsia="Times New Roman" w:cs="Times New Roman"/>
          <w:b/>
          <w:bCs/>
          <w:color w:val="333333"/>
          <w:szCs w:val="28"/>
        </w:rPr>
        <w:t xml:space="preserve">g Thanh niên xung phong vẻ vang” </w:t>
      </w:r>
      <w:r w:rsidRPr="002E4D31">
        <w:rPr>
          <w:rFonts w:eastAsia="Times New Roman" w:cs="Times New Roman"/>
          <w:color w:val="333333"/>
          <w:szCs w:val="28"/>
        </w:rPr>
        <w:t>Có hiệu lực từ 20/4/2024, Nghị định 28/2024/NĐ-CP ngày 6/3/2024 quy định chi tiết trình tự, thủ tục xét tặng, truy tặng "Huy chương Thanh niên xung phong vẻ vang" và việc khen thưởng tổng kết thành tích kháng chiến.</w:t>
      </w:r>
      <w:r w:rsidRPr="002E4D31">
        <w:rPr>
          <w:rFonts w:eastAsia="Times New Roman" w:cs="Times New Roman"/>
          <w:color w:val="333333"/>
          <w:szCs w:val="28"/>
        </w:rPr>
        <w:br/>
        <w:t>Nghị định nêu rõ, Thanh niên xung phong hoặc thân nhân của Thanh niên xung phong lập hồ sơ đề nghị theo quy định, nộp trực tiếp hoặc qua đường bưu điện 01 bộ hồ sơ đến Ủy ban nhân dân cấp xã nơi Thanh niên xung phong đăng ký cư trú (đối với trường hợp còn sống) hoặc nơi cư trú trước khi tham gia Thanh niên xung phong (đối với Thanh niên x</w:t>
      </w:r>
      <w:r>
        <w:rPr>
          <w:rFonts w:eastAsia="Times New Roman" w:cs="Times New Roman"/>
          <w:color w:val="333333"/>
          <w:szCs w:val="28"/>
        </w:rPr>
        <w:t>ung phong đã hy sinh, từ trần).</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sidRPr="001B42FA">
        <w:rPr>
          <w:rFonts w:eastAsia="Times New Roman" w:cs="Times New Roman"/>
          <w:b/>
          <w:color w:val="333333"/>
          <w:szCs w:val="28"/>
        </w:rPr>
        <w:t>4.</w:t>
      </w:r>
      <w:r>
        <w:rPr>
          <w:rFonts w:eastAsia="Times New Roman" w:cs="Times New Roman"/>
          <w:color w:val="333333"/>
          <w:szCs w:val="28"/>
        </w:rPr>
        <w:t xml:space="preserve"> </w:t>
      </w:r>
      <w:r w:rsidRPr="002E4D31">
        <w:rPr>
          <w:rFonts w:eastAsia="Times New Roman" w:cs="Times New Roman"/>
          <w:b/>
          <w:bCs/>
          <w:color w:val="333333"/>
          <w:szCs w:val="28"/>
        </w:rPr>
        <w:t>Tiêu chuẩn xét tặng danh hiệu “Thầy thuốc nhân dân”, “Thầy thuốc ưu tú”</w:t>
      </w:r>
      <w:r>
        <w:rPr>
          <w:rFonts w:eastAsia="Times New Roman" w:cs="Times New Roman"/>
          <w:color w:val="333333"/>
          <w:szCs w:val="28"/>
        </w:rPr>
        <w:t xml:space="preserve"> </w:t>
      </w:r>
      <w:r w:rsidRPr="002E4D31">
        <w:rPr>
          <w:rFonts w:eastAsia="Times New Roman" w:cs="Times New Roman"/>
          <w:color w:val="333333"/>
          <w:szCs w:val="28"/>
        </w:rPr>
        <w:t>Có hiệu lực từ 15/4/2024, Nghị định số 25/2024/NĐ-CP ngày 27/02/2024 quy định về xét tặng danh hiệu "Thầy thuốc nhân dân", "Thầy thuốc ưu tú"; trong đó quy định cụ thể đối tượng, nguyên tắc, tiêu chuẩn, hội đồng xét tặng, hồ sơ, trình tự, thủ tục xét tặng danh hiệu "Thầy thuốc nhân dân", "Thầy thuốc ưu tú".</w:t>
      </w:r>
      <w:r w:rsidRPr="002E4D31">
        <w:rPr>
          <w:rFonts w:eastAsia="Times New Roman" w:cs="Times New Roman"/>
          <w:color w:val="333333"/>
          <w:szCs w:val="28"/>
        </w:rPr>
        <w:br/>
        <w:t>Nghị định số 25/2024/NĐ-CP quy định danh hiệu "Thầy thuốc ưu tú" được xét tặng cho cá nhân đạt các tiêu chuẩn quy định tại các điểm a, b và c khoản 3 Điều 65 Luật Thi đua, khen thưởng, có tài năng xuất sắc trong nghiên cứu, phát triển khoa học, kỹ thuật, công nghệ về y tế, đạt đượ</w:t>
      </w:r>
      <w:r>
        <w:rPr>
          <w:rFonts w:eastAsia="Times New Roman" w:cs="Times New Roman"/>
          <w:color w:val="333333"/>
          <w:szCs w:val="28"/>
        </w:rPr>
        <w:t>c một trong các tiêu chuẩn sau:</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sidRPr="002E4D31">
        <w:rPr>
          <w:rFonts w:eastAsia="Times New Roman" w:cs="Times New Roman"/>
          <w:color w:val="333333"/>
          <w:szCs w:val="28"/>
        </w:rPr>
        <w:t>a) Chủ nhiệm ít nhất 02 nhiệm vụ khoa học và công nghệ cấp cơ sở đã được nghiệm thu, kết quả đánh g</w:t>
      </w:r>
      <w:r>
        <w:rPr>
          <w:rFonts w:eastAsia="Times New Roman" w:cs="Times New Roman"/>
          <w:color w:val="333333"/>
          <w:szCs w:val="28"/>
        </w:rPr>
        <w:t>iá, xếp loại ở mức đạt trở lên;</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sidRPr="002E4D31">
        <w:rPr>
          <w:rFonts w:eastAsia="Times New Roman" w:cs="Times New Roman"/>
          <w:color w:val="333333"/>
          <w:szCs w:val="28"/>
        </w:rPr>
        <w:t>b) Là thành viên nghiên cứu chính thực hiện ít nhất 02 nhiệm vụ khoa học và công nghệ cấp bộ, tỉnh đã được nghiệm thu, kết quả đánh g</w:t>
      </w:r>
      <w:r>
        <w:rPr>
          <w:rFonts w:eastAsia="Times New Roman" w:cs="Times New Roman"/>
          <w:color w:val="333333"/>
          <w:szCs w:val="28"/>
        </w:rPr>
        <w:t>iá, xếp loại ở mức đạt trở lên;</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sidRPr="002E4D31">
        <w:rPr>
          <w:rFonts w:eastAsia="Times New Roman" w:cs="Times New Roman"/>
          <w:color w:val="333333"/>
          <w:szCs w:val="28"/>
        </w:rPr>
        <w:t>c) Là thư ký ít nhất 01 nhiệm vụ khoa học và công nghệ cấp bộ, tỉnh đã được nghiệm thu, kết quả đánh giá, xếp loại ở mức đạt trở lên;</w:t>
      </w:r>
      <w:r w:rsidRPr="002E4D31">
        <w:rPr>
          <w:rFonts w:eastAsia="Times New Roman" w:cs="Times New Roman"/>
          <w:color w:val="333333"/>
          <w:szCs w:val="28"/>
        </w:rPr>
        <w:br/>
        <w:t>d) Là thành viên nghiên cứu chính thực hiện ít nhất 01 nhiệm vụ khoa học và công nghệ cấp quốc gia đã được nghiệm thu, kết quả đánh g</w:t>
      </w:r>
      <w:r>
        <w:rPr>
          <w:rFonts w:eastAsia="Times New Roman" w:cs="Times New Roman"/>
          <w:color w:val="333333"/>
          <w:szCs w:val="28"/>
        </w:rPr>
        <w:t>iá, xếp loại ở mức đạt trở lên;</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sidRPr="002E4D31">
        <w:rPr>
          <w:rFonts w:eastAsia="Times New Roman" w:cs="Times New Roman"/>
          <w:color w:val="333333"/>
          <w:szCs w:val="28"/>
        </w:rPr>
        <w:t>đ) Là chủ nhiệm ít nhất 01 nhiệm vụ khoa học và công nghệ cấp cơ sở và thành viên nghiên cứu chính thực hiện ít nhất 01 nhiệm vụ khoa học và công nghệ cấp bộ, tỉnh đã được nghiệm thu, kết quả đánh giá, xếp loại ở mức đạt trở lên;</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sidRPr="002E4D31">
        <w:rPr>
          <w:rFonts w:eastAsia="Times New Roman" w:cs="Times New Roman"/>
          <w:color w:val="333333"/>
          <w:szCs w:val="28"/>
        </w:rPr>
        <w:lastRenderedPageBreak/>
        <w:t>e) Là tác giả ít nhất 01 sáng kiến được ứng dụng mang lại hiệu quả cao, có phạm vi ảnh hưởng rộng rãi được bộ, ban, ngành, tỉnh công nhận.</w:t>
      </w:r>
      <w:r w:rsidRPr="002E4D31">
        <w:rPr>
          <w:rFonts w:eastAsia="Times New Roman" w:cs="Times New Roman"/>
          <w:color w:val="333333"/>
          <w:szCs w:val="28"/>
        </w:rPr>
        <w:br/>
        <w:t>Không yêu cầu áp dụng tiêu chuẩn về nhiệm vụ khoa học và công nghệ, sáng kiến đối với cá nhân công tác ở địa bàn biên giới, trên biển, hải đảo, vùng có điều kiện kinh tế - xã hội đặc biệt khó khăn theo quy định của Chính phủ và công tác trong các lĩnh vực: phong, lao, tâm thần, giải phẫu bệnh, pháp y, pháp y tâm thần, phòng chống dịch bệnh nguy hiểm, cấp cứu 115, hồi sức cấp cứu hoặc côn</w:t>
      </w:r>
      <w:r>
        <w:rPr>
          <w:rFonts w:eastAsia="Times New Roman" w:cs="Times New Roman"/>
          <w:color w:val="333333"/>
          <w:szCs w:val="28"/>
        </w:rPr>
        <w:t>g tác trong các cơ sở giam giữ.</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sidRPr="002E4D31">
        <w:rPr>
          <w:rFonts w:eastAsia="Times New Roman" w:cs="Times New Roman"/>
          <w:color w:val="333333"/>
          <w:szCs w:val="28"/>
        </w:rPr>
        <w:t>Đồng thời, Nghị định số 25/2024/NĐ-CP cũng quy định cá nhân nêu trên phải có thành tích xuất sắc trong công tác y tế, đạ</w:t>
      </w:r>
      <w:r>
        <w:rPr>
          <w:rFonts w:eastAsia="Times New Roman" w:cs="Times New Roman"/>
          <w:color w:val="333333"/>
          <w:szCs w:val="28"/>
        </w:rPr>
        <w:t>t một trong các tiêu chuẩn sau:</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Pr>
          <w:rFonts w:eastAsia="Times New Roman" w:cs="Times New Roman"/>
          <w:color w:val="333333"/>
          <w:szCs w:val="28"/>
        </w:rPr>
        <w:t>-</w:t>
      </w:r>
      <w:r w:rsidRPr="002E4D31">
        <w:rPr>
          <w:rFonts w:eastAsia="Times New Roman" w:cs="Times New Roman"/>
          <w:color w:val="333333"/>
          <w:szCs w:val="28"/>
        </w:rPr>
        <w:t xml:space="preserve"> Đã được tặng Huân chương Lao động hoặc Huân chương Bảo</w:t>
      </w:r>
      <w:r>
        <w:rPr>
          <w:rFonts w:eastAsia="Times New Roman" w:cs="Times New Roman"/>
          <w:color w:val="333333"/>
          <w:szCs w:val="28"/>
        </w:rPr>
        <w:t xml:space="preserve"> vệ Tổ quốc từ hạng Ba trở lên;</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Pr>
          <w:rFonts w:eastAsia="Times New Roman" w:cs="Times New Roman"/>
          <w:color w:val="333333"/>
          <w:szCs w:val="28"/>
        </w:rPr>
        <w:t>-</w:t>
      </w:r>
      <w:r w:rsidRPr="002E4D31">
        <w:rPr>
          <w:rFonts w:eastAsia="Times New Roman" w:cs="Times New Roman"/>
          <w:color w:val="333333"/>
          <w:szCs w:val="28"/>
        </w:rPr>
        <w:t xml:space="preserve"> Đã được tặng ít nhất 01 Bằn</w:t>
      </w:r>
      <w:r>
        <w:rPr>
          <w:rFonts w:eastAsia="Times New Roman" w:cs="Times New Roman"/>
          <w:color w:val="333333"/>
          <w:szCs w:val="28"/>
        </w:rPr>
        <w:t>g khen của Thủ tướng Chính phủ;</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Pr>
          <w:rFonts w:eastAsia="Times New Roman" w:cs="Times New Roman"/>
          <w:color w:val="333333"/>
          <w:szCs w:val="28"/>
        </w:rPr>
        <w:t xml:space="preserve">- </w:t>
      </w:r>
      <w:r w:rsidRPr="002E4D31">
        <w:rPr>
          <w:rFonts w:eastAsia="Times New Roman" w:cs="Times New Roman"/>
          <w:color w:val="333333"/>
          <w:szCs w:val="28"/>
        </w:rPr>
        <w:t xml:space="preserve">Đã được tặng ít nhất 03 Bằng khen </w:t>
      </w:r>
      <w:r>
        <w:rPr>
          <w:rFonts w:eastAsia="Times New Roman" w:cs="Times New Roman"/>
          <w:color w:val="333333"/>
          <w:szCs w:val="28"/>
        </w:rPr>
        <w:t>cấp bộ, ban, ngành, tỉnh;</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Pr>
          <w:rFonts w:eastAsia="Times New Roman" w:cs="Times New Roman"/>
          <w:color w:val="333333"/>
          <w:szCs w:val="28"/>
        </w:rPr>
        <w:t>-</w:t>
      </w:r>
      <w:r w:rsidRPr="002E4D31">
        <w:rPr>
          <w:rFonts w:eastAsia="Times New Roman" w:cs="Times New Roman"/>
          <w:color w:val="333333"/>
          <w:szCs w:val="28"/>
        </w:rPr>
        <w:t xml:space="preserve"> Đã ít nhất 02 lần được tặng danh hiệu Chiến sỹ thi đua cấp bộ, tỉnh và ít nhất 01 lần được tặng Bằng kh</w:t>
      </w:r>
      <w:r>
        <w:rPr>
          <w:rFonts w:eastAsia="Times New Roman" w:cs="Times New Roman"/>
          <w:color w:val="333333"/>
          <w:szCs w:val="28"/>
        </w:rPr>
        <w:t>en cấp bộ, ban, ngành, tỉnh;</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Pr>
          <w:rFonts w:eastAsia="Times New Roman" w:cs="Times New Roman"/>
          <w:color w:val="333333"/>
          <w:szCs w:val="28"/>
        </w:rPr>
        <w:t xml:space="preserve">- </w:t>
      </w:r>
      <w:r w:rsidRPr="002E4D31">
        <w:rPr>
          <w:rFonts w:eastAsia="Times New Roman" w:cs="Times New Roman"/>
          <w:color w:val="333333"/>
          <w:szCs w:val="28"/>
        </w:rPr>
        <w:t>Đã ít nhất 06 lần được tặng danh hiệu Chiến sỹ thi đua cấp cơ sở và 02 lần được tặng Bằng khen cấ</w:t>
      </w:r>
      <w:r>
        <w:rPr>
          <w:rFonts w:eastAsia="Times New Roman" w:cs="Times New Roman"/>
          <w:color w:val="333333"/>
          <w:szCs w:val="28"/>
        </w:rPr>
        <w:t xml:space="preserve">p bộ, ban, ngành, tỉnh trở lên. </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sidRPr="002E4D31">
        <w:rPr>
          <w:rFonts w:eastAsia="Times New Roman" w:cs="Times New Roman"/>
          <w:color w:val="333333"/>
          <w:szCs w:val="28"/>
        </w:rPr>
        <w:t>Cá nhân là người đứng đầu, cấp phó của người đứng đầu được bổ nhiệm giữ chức vụ quản lý trên 36 tháng tính từ khi được bổ nhiệm đến thời điểm nộp hồ sơ, ngoài các tiêu chuẩn nêu trên nếu tham gia xét tặng danh hiệu "Thầy thuốc nhân dân", "Thầy thuốc ưu tú" thì tập thể do cá nhân quản lý phải đạt m</w:t>
      </w:r>
      <w:r>
        <w:rPr>
          <w:rFonts w:eastAsia="Times New Roman" w:cs="Times New Roman"/>
          <w:color w:val="333333"/>
          <w:szCs w:val="28"/>
        </w:rPr>
        <w:t>ột trong các tiêu chuẩn sau:</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Pr>
          <w:rFonts w:eastAsia="Times New Roman" w:cs="Times New Roman"/>
          <w:color w:val="333333"/>
          <w:szCs w:val="28"/>
        </w:rPr>
        <w:t xml:space="preserve">- </w:t>
      </w:r>
      <w:r w:rsidRPr="002E4D31">
        <w:rPr>
          <w:rFonts w:eastAsia="Times New Roman" w:cs="Times New Roman"/>
          <w:color w:val="333333"/>
          <w:szCs w:val="28"/>
        </w:rPr>
        <w:t>03 năm liền kề năm đề nghị xét tặng được công nhận danh hiệu "Tập thể lao động tiên tiến" hoặc "Đơn vị tiên tiến", trong đó có 02 lần đạt danh hiệu "Tập thể lao động xuất sắc</w:t>
      </w:r>
      <w:r>
        <w:rPr>
          <w:rFonts w:eastAsia="Times New Roman" w:cs="Times New Roman"/>
          <w:color w:val="333333"/>
          <w:szCs w:val="28"/>
        </w:rPr>
        <w:t>" hoặc "Đơn vị quyết thắng";</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Pr>
          <w:rFonts w:eastAsia="Times New Roman" w:cs="Times New Roman"/>
          <w:color w:val="333333"/>
          <w:szCs w:val="28"/>
        </w:rPr>
        <w:t xml:space="preserve">- </w:t>
      </w:r>
      <w:r w:rsidRPr="002E4D31">
        <w:rPr>
          <w:rFonts w:eastAsia="Times New Roman" w:cs="Times New Roman"/>
          <w:color w:val="333333"/>
          <w:szCs w:val="28"/>
        </w:rPr>
        <w:t>Đã được tặng danh hiệu thi đua, hình thức khen thưởng từ cấ</w:t>
      </w:r>
      <w:r>
        <w:rPr>
          <w:rFonts w:eastAsia="Times New Roman" w:cs="Times New Roman"/>
          <w:color w:val="333333"/>
          <w:szCs w:val="28"/>
        </w:rPr>
        <w:t>p bộ, ban, ngành, tỉnh trở lên.</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sidRPr="002E4D31">
        <w:rPr>
          <w:rFonts w:eastAsia="Times New Roman" w:cs="Times New Roman"/>
          <w:color w:val="333333"/>
          <w:szCs w:val="28"/>
        </w:rPr>
        <w:t>Cũng theo Nghị định, cá nhân công tác ở địa bàn biên giới, trên biển, hải đảo, vùng có điều kiện kinh tế - xã hội đặc biệt khó khăn theo quy định của Chính phủ ngoài đạt các tiêu chí quy định tại các điểm a, b và c khoản 3 Điều 65 Luật Thi đua, khen thưởng phải đạt được các tiêu chuẩn sau: có ít nhất 05 năm tính đến thời điểm xét tặng được công nhận hoàn thành tốt nhiệm vụ trở lên, trong thời gian đó có từ 03 năm trở lên được công nhận hoàn thành xuất sắc nhiệm vụ và được tặng Bằng khen cấp bộ, b</w:t>
      </w:r>
      <w:r>
        <w:rPr>
          <w:rFonts w:eastAsia="Times New Roman" w:cs="Times New Roman"/>
          <w:color w:val="333333"/>
          <w:szCs w:val="28"/>
        </w:rPr>
        <w:t>an, ngành, tỉnh ít nhất 01 lần.</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sidRPr="001B42FA">
        <w:rPr>
          <w:rFonts w:eastAsia="Times New Roman" w:cs="Times New Roman"/>
          <w:b/>
          <w:color w:val="333333"/>
          <w:szCs w:val="28"/>
        </w:rPr>
        <w:t>5</w:t>
      </w:r>
      <w:r>
        <w:rPr>
          <w:rFonts w:eastAsia="Times New Roman" w:cs="Times New Roman"/>
          <w:color w:val="333333"/>
          <w:szCs w:val="28"/>
        </w:rPr>
        <w:t xml:space="preserve">. </w:t>
      </w:r>
      <w:r w:rsidRPr="002E4D31">
        <w:rPr>
          <w:rFonts w:eastAsia="Times New Roman" w:cs="Times New Roman"/>
          <w:b/>
          <w:bCs/>
          <w:color w:val="333333"/>
          <w:szCs w:val="28"/>
        </w:rPr>
        <w:t>Danh mục và thời hạn định kỳ chuyển đổi vị trí công tác với công chức không giữ chức vụ lãnh đạo, quản lý thuộc lĩnh vực y tế</w:t>
      </w:r>
    </w:p>
    <w:p w:rsidR="002E4D31" w:rsidRDefault="002E4D31" w:rsidP="002E4D31">
      <w:pPr>
        <w:shd w:val="clear" w:color="auto" w:fill="FFFFFF"/>
        <w:spacing w:after="0" w:line="240" w:lineRule="auto"/>
        <w:ind w:firstLine="567"/>
        <w:jc w:val="both"/>
        <w:rPr>
          <w:rFonts w:eastAsia="Times New Roman" w:cs="Times New Roman"/>
          <w:color w:val="333333"/>
          <w:szCs w:val="28"/>
        </w:rPr>
      </w:pPr>
      <w:r w:rsidRPr="002E4D31">
        <w:rPr>
          <w:rFonts w:eastAsia="Times New Roman" w:cs="Times New Roman"/>
          <w:color w:val="333333"/>
          <w:szCs w:val="28"/>
        </w:rPr>
        <w:t xml:space="preserve">Bộ Y tế ban hành Thông tư 01/2024/TT-BYT về danh mục và thời hạn định kỳ chuyển đổi vị trí công tác với công chức không giữ chức vụ lãnh đạo, quản lý thuộc lĩnh vực </w:t>
      </w:r>
      <w:r>
        <w:rPr>
          <w:rFonts w:eastAsia="Times New Roman" w:cs="Times New Roman"/>
          <w:color w:val="333333"/>
          <w:szCs w:val="28"/>
        </w:rPr>
        <w:t>y tế, có hiệu lực từ 15/4/2024.</w:t>
      </w:r>
    </w:p>
    <w:p w:rsidR="00EF254F" w:rsidRDefault="002E4D31" w:rsidP="002E4D31">
      <w:pPr>
        <w:shd w:val="clear" w:color="auto" w:fill="FFFFFF"/>
        <w:spacing w:after="0" w:line="240" w:lineRule="auto"/>
        <w:ind w:firstLine="567"/>
        <w:jc w:val="both"/>
        <w:rPr>
          <w:rFonts w:eastAsia="Times New Roman" w:cs="Times New Roman"/>
          <w:color w:val="333333"/>
          <w:szCs w:val="28"/>
        </w:rPr>
      </w:pPr>
      <w:r w:rsidRPr="002E4D31">
        <w:rPr>
          <w:rFonts w:eastAsia="Times New Roman" w:cs="Times New Roman"/>
          <w:color w:val="333333"/>
          <w:szCs w:val="28"/>
        </w:rPr>
        <w:t>Theo đó, thời hạn định kỳ chuyển đổi vị trí công tác là từ đủ 02 - 05 năm theo đặc thù của từng vị trí công tác. Thời hạn này được tính từ ngày có quyết định/văn</w:t>
      </w:r>
      <w:r>
        <w:rPr>
          <w:rFonts w:eastAsia="Times New Roman" w:cs="Times New Roman"/>
          <w:color w:val="333333"/>
          <w:szCs w:val="28"/>
        </w:rPr>
        <w:t xml:space="preserve"> bản công tác đảm nhiệm vị trí.</w:t>
      </w:r>
      <w:r w:rsidRPr="002E4D31">
        <w:rPr>
          <w:rFonts w:eastAsia="Times New Roman" w:cs="Times New Roman"/>
          <w:color w:val="333333"/>
          <w:szCs w:val="28"/>
        </w:rPr>
        <w:t>Trong đó, các danh mục vị trí công tác thuộc lĩnh vực y tế phải định kỳ chuyển đổi gồm những vị trí tiếp nhận hồ sơ, cấp mới, cấp lại, điều chỉnh, thu hồi, gia hạn, thay đổi… các lĩnh vực:</w:t>
      </w:r>
      <w:r>
        <w:rPr>
          <w:rFonts w:eastAsia="Times New Roman" w:cs="Times New Roman"/>
          <w:color w:val="333333"/>
          <w:szCs w:val="28"/>
        </w:rPr>
        <w:t xml:space="preserve"> </w:t>
      </w:r>
      <w:r w:rsidRPr="002E4D31">
        <w:rPr>
          <w:rFonts w:eastAsia="Times New Roman" w:cs="Times New Roman"/>
          <w:color w:val="333333"/>
          <w:szCs w:val="28"/>
        </w:rPr>
        <w:t xml:space="preserve">Y tế dự phòng: </w:t>
      </w:r>
      <w:r w:rsidRPr="002E4D31">
        <w:rPr>
          <w:rFonts w:eastAsia="Times New Roman" w:cs="Times New Roman"/>
          <w:color w:val="333333"/>
          <w:szCs w:val="28"/>
        </w:rPr>
        <w:lastRenderedPageBreak/>
        <w:t>Giấ</w:t>
      </w:r>
      <w:r>
        <w:rPr>
          <w:rFonts w:eastAsia="Times New Roman" w:cs="Times New Roman"/>
          <w:color w:val="333333"/>
          <w:szCs w:val="28"/>
        </w:rPr>
        <w:t>y phép nhập khẩu mẫu bệnh phẩm…</w:t>
      </w:r>
      <w:r w:rsidRPr="002E4D31">
        <w:rPr>
          <w:rFonts w:eastAsia="Times New Roman" w:cs="Times New Roman"/>
          <w:color w:val="333333"/>
          <w:szCs w:val="28"/>
        </w:rPr>
        <w:t>Khám chữa bệnh: Giấy phép hành nghề/hoạt động khám chữa bệnh, giấy phép hoạt động khám chữa bệnh</w:t>
      </w:r>
      <w:r>
        <w:rPr>
          <w:rFonts w:eastAsia="Times New Roman" w:cs="Times New Roman"/>
          <w:color w:val="333333"/>
          <w:szCs w:val="28"/>
        </w:rPr>
        <w:t>…</w:t>
      </w:r>
      <w:r w:rsidRPr="002E4D31">
        <w:rPr>
          <w:rFonts w:eastAsia="Times New Roman" w:cs="Times New Roman"/>
          <w:color w:val="333333"/>
          <w:szCs w:val="28"/>
        </w:rPr>
        <w:t xml:space="preserve">Dược phẩm, mỹ phẩm, y dược cổ truyền: Giấy đăng ký lưu </w:t>
      </w:r>
      <w:r w:rsidR="00EF254F">
        <w:rPr>
          <w:rFonts w:eastAsia="Times New Roman" w:cs="Times New Roman"/>
          <w:color w:val="333333"/>
          <w:szCs w:val="28"/>
        </w:rPr>
        <w:t>hành, chứng chỉ hành nghề dược…</w:t>
      </w:r>
    </w:p>
    <w:p w:rsidR="00EF254F" w:rsidRDefault="00EF254F" w:rsidP="002E4D31">
      <w:pPr>
        <w:shd w:val="clear" w:color="auto" w:fill="FFFFFF"/>
        <w:spacing w:after="0" w:line="240" w:lineRule="auto"/>
        <w:ind w:firstLine="567"/>
        <w:jc w:val="both"/>
        <w:rPr>
          <w:rFonts w:eastAsia="Times New Roman" w:cs="Times New Roman"/>
          <w:color w:val="333333"/>
          <w:szCs w:val="28"/>
        </w:rPr>
      </w:pPr>
      <w:r>
        <w:rPr>
          <w:rFonts w:eastAsia="Times New Roman" w:cs="Times New Roman"/>
          <w:b/>
          <w:bCs/>
          <w:color w:val="333333"/>
          <w:szCs w:val="28"/>
        </w:rPr>
        <w:t xml:space="preserve">6. </w:t>
      </w:r>
      <w:r w:rsidR="002E4D31" w:rsidRPr="002E4D31">
        <w:rPr>
          <w:rFonts w:eastAsia="Times New Roman" w:cs="Times New Roman"/>
          <w:b/>
          <w:bCs/>
          <w:color w:val="333333"/>
          <w:szCs w:val="28"/>
        </w:rPr>
        <w:t>Sửa đổi, bổ sung một số điều của Quy chế th</w:t>
      </w:r>
      <w:r>
        <w:rPr>
          <w:rFonts w:eastAsia="Times New Roman" w:cs="Times New Roman"/>
          <w:b/>
          <w:bCs/>
          <w:color w:val="333333"/>
          <w:szCs w:val="28"/>
        </w:rPr>
        <w:t>i tốt nghiệp THPT</w:t>
      </w:r>
    </w:p>
    <w:p w:rsidR="001B42FA" w:rsidRDefault="002E4D31" w:rsidP="002E4D31">
      <w:pPr>
        <w:shd w:val="clear" w:color="auto" w:fill="FFFFFF"/>
        <w:spacing w:after="0" w:line="240" w:lineRule="auto"/>
        <w:ind w:firstLine="567"/>
        <w:jc w:val="both"/>
        <w:rPr>
          <w:rFonts w:eastAsia="Times New Roman" w:cs="Times New Roman"/>
          <w:color w:val="333333"/>
          <w:szCs w:val="28"/>
        </w:rPr>
      </w:pPr>
      <w:r w:rsidRPr="002E4D31">
        <w:rPr>
          <w:rFonts w:eastAsia="Times New Roman" w:cs="Times New Roman"/>
          <w:color w:val="333333"/>
          <w:szCs w:val="28"/>
        </w:rPr>
        <w:t>Từ 22/4/2024, Thông tư 02/2024/TT-BGDĐT của Bộ Giáo dục và Đào tạo về sửa đổi, bổ sung một số điều của Quy chế thi tốt nghiệp trung học phổ</w:t>
      </w:r>
      <w:r w:rsidR="00EF254F">
        <w:rPr>
          <w:rFonts w:eastAsia="Times New Roman" w:cs="Times New Roman"/>
          <w:color w:val="333333"/>
          <w:szCs w:val="28"/>
        </w:rPr>
        <w:t xml:space="preserve"> thông, chính thức có hiệu lực. </w:t>
      </w:r>
      <w:r w:rsidRPr="002E4D31">
        <w:rPr>
          <w:rFonts w:eastAsia="Times New Roman" w:cs="Times New Roman"/>
          <w:color w:val="333333"/>
          <w:szCs w:val="28"/>
        </w:rPr>
        <w:t xml:space="preserve">Thông tư sửa đổi, bổ sung việc tổ chức thi 5 bài thi, gồm: 3 bài thi độc lập là Toán, Ngữ văn, Ngoại ngữ (Tiếng Anh, Tiếng Nga, Tiếng Pháp, Tiếng Trung Quốc, Tiếng Đức, Tiếng Nhật và Tiếng Hàn); 1 bài thi tổ hợp Khoa học Tự nhiên; 1 </w:t>
      </w:r>
      <w:r w:rsidR="001B42FA">
        <w:rPr>
          <w:rFonts w:eastAsia="Times New Roman" w:cs="Times New Roman"/>
          <w:color w:val="333333"/>
          <w:szCs w:val="28"/>
        </w:rPr>
        <w:t>bài thi tổ hợp Khoa học Xã hội.</w:t>
      </w:r>
    </w:p>
    <w:p w:rsidR="001B42FA" w:rsidRDefault="002E4D31" w:rsidP="002E4D31">
      <w:pPr>
        <w:shd w:val="clear" w:color="auto" w:fill="FFFFFF"/>
        <w:spacing w:after="0" w:line="240" w:lineRule="auto"/>
        <w:ind w:firstLine="567"/>
        <w:jc w:val="both"/>
        <w:rPr>
          <w:rFonts w:eastAsia="Times New Roman" w:cs="Times New Roman"/>
          <w:color w:val="333333"/>
          <w:szCs w:val="28"/>
        </w:rPr>
      </w:pPr>
      <w:r w:rsidRPr="002E4D31">
        <w:rPr>
          <w:rFonts w:eastAsia="Times New Roman" w:cs="Times New Roman"/>
          <w:color w:val="333333"/>
          <w:szCs w:val="28"/>
        </w:rPr>
        <w:t>Để xét công nhận tốt nghiệp THPT, thí sinh giáo dục THPT thuộc đối tượng quy định phải dự thi 4 bài thi, gồm 3 bài thi độc lập là Toán, Ngữ văn, Ngoại ngữ và 1 bài thi</w:t>
      </w:r>
      <w:r w:rsidR="001B42FA">
        <w:rPr>
          <w:rFonts w:eastAsia="Times New Roman" w:cs="Times New Roman"/>
          <w:color w:val="333333"/>
          <w:szCs w:val="28"/>
        </w:rPr>
        <w:t xml:space="preserve"> tổ hợp do thí sinh tự chọn. </w:t>
      </w:r>
      <w:r w:rsidRPr="002E4D31">
        <w:rPr>
          <w:rFonts w:eastAsia="Times New Roman" w:cs="Times New Roman"/>
          <w:color w:val="333333"/>
          <w:szCs w:val="28"/>
        </w:rPr>
        <w:t>Thí sinh GDTX thuộc đối tượng quy định dự thi 3 bài thi, gồm 2 bài thi độc lập là Toán, Ngữ văn và 1 bài thi tổ hợp do thí sinh tự chọn. Thí sinh GDTX có thể đăng ký dự thi thêm bài thi Ngoại ngữ</w:t>
      </w:r>
      <w:r w:rsidR="001B42FA">
        <w:rPr>
          <w:rFonts w:eastAsia="Times New Roman" w:cs="Times New Roman"/>
          <w:color w:val="333333"/>
          <w:szCs w:val="28"/>
        </w:rPr>
        <w:t xml:space="preserve"> để lấy kết quả xét tuyển sinh.</w:t>
      </w:r>
      <w:r w:rsidRPr="002E4D31">
        <w:rPr>
          <w:rFonts w:eastAsia="Times New Roman" w:cs="Times New Roman"/>
          <w:color w:val="333333"/>
          <w:szCs w:val="28"/>
        </w:rPr>
        <w:t>Thí sinh được đăng ký dự thi môn Ngoại ngữ khác với môn Ngoại ngữ</w:t>
      </w:r>
      <w:r w:rsidR="001B42FA">
        <w:rPr>
          <w:rFonts w:eastAsia="Times New Roman" w:cs="Times New Roman"/>
          <w:color w:val="333333"/>
          <w:szCs w:val="28"/>
        </w:rPr>
        <w:t xml:space="preserve"> đang học tại trường phổ thông.</w:t>
      </w:r>
      <w:r w:rsidRPr="002E4D31">
        <w:rPr>
          <w:rFonts w:eastAsia="Times New Roman" w:cs="Times New Roman"/>
          <w:color w:val="333333"/>
          <w:szCs w:val="28"/>
        </w:rPr>
        <w:t>Thông tư 02/2024/TT-BGDĐT cũng quy định danh mục chứng chỉ ngoại ngữ được sử dụng để miễn bài thi Ngoại ngữ trong xét công nhận tốt nghiệp THPT: TOEFL ITP 450 điểm; TOEFL iBT 45 điểm; TOEIC (4 kỹ năng Nghe: 275, Đọc: 275, Nói: 120, Viết: 120); IELTS 4.0 điểm; B1 Preliminary; B1 Business Preliminary; B1 Linguaskill; Chứng chỉ ngoại ngữ theo Khung năng lực ngoại ngữ 6</w:t>
      </w:r>
      <w:r w:rsidR="001B42FA">
        <w:rPr>
          <w:rFonts w:eastAsia="Times New Roman" w:cs="Times New Roman"/>
          <w:color w:val="333333"/>
          <w:szCs w:val="28"/>
        </w:rPr>
        <w:t xml:space="preserve"> bậc dùng cho Việt Nam Bậc 3...</w:t>
      </w:r>
    </w:p>
    <w:p w:rsidR="002E4D31" w:rsidRPr="002E4D31" w:rsidRDefault="001B42FA" w:rsidP="002E4D31">
      <w:pPr>
        <w:shd w:val="clear" w:color="auto" w:fill="FFFFFF"/>
        <w:spacing w:after="0" w:line="240" w:lineRule="auto"/>
        <w:ind w:firstLine="567"/>
        <w:jc w:val="both"/>
        <w:rPr>
          <w:rFonts w:eastAsia="Times New Roman" w:cs="Times New Roman"/>
          <w:color w:val="333333"/>
          <w:szCs w:val="28"/>
        </w:rPr>
      </w:pPr>
      <w:r>
        <w:rPr>
          <w:rFonts w:eastAsia="Times New Roman" w:cs="Times New Roman"/>
          <w:b/>
          <w:bCs/>
          <w:color w:val="333333"/>
          <w:szCs w:val="28"/>
        </w:rPr>
        <w:t xml:space="preserve">7. </w:t>
      </w:r>
      <w:r w:rsidR="002E4D31" w:rsidRPr="002E4D31">
        <w:rPr>
          <w:rFonts w:eastAsia="Times New Roman" w:cs="Times New Roman"/>
          <w:b/>
          <w:bCs/>
          <w:color w:val="333333"/>
          <w:szCs w:val="28"/>
        </w:rPr>
        <w:t>Thủ tục hành chính được sửa đổi, bổ sung, bãi bỏ trong lĩnh vực đăng kiểm</w:t>
      </w:r>
      <w:r>
        <w:rPr>
          <w:rFonts w:eastAsia="Times New Roman" w:cs="Times New Roman"/>
          <w:color w:val="333333"/>
          <w:szCs w:val="28"/>
        </w:rPr>
        <w:t xml:space="preserve"> </w:t>
      </w:r>
      <w:r w:rsidR="002E4D31" w:rsidRPr="002E4D31">
        <w:rPr>
          <w:rFonts w:eastAsia="Times New Roman" w:cs="Times New Roman"/>
          <w:color w:val="333333"/>
          <w:szCs w:val="28"/>
        </w:rPr>
        <w:t>Bộ Giao thông vận tải (GTVT) đã ban hành Quyết định số 233/QĐ-BGTVT ngày 12/3/2024 công bố thủ tục hành chính được sửa đổi, bổ sung, bãi bỏ trong lĩnh vực đăng kiểm thuộc phạm vi chức năng quản lý của Bộ GTVT.</w:t>
      </w:r>
      <w:r w:rsidR="002E4D31" w:rsidRPr="002E4D31">
        <w:rPr>
          <w:rFonts w:eastAsia="Times New Roman" w:cs="Times New Roman"/>
          <w:color w:val="333333"/>
          <w:szCs w:val="28"/>
        </w:rPr>
        <w:br/>
        <w:t>Theo quyết định, thủ tục hành chính được sửa đổi, bổ sung, bãi bỏ trong lĩnh vực đăng kiểm thuộc phạm vi chức năng quản lý của Bộ GTVT, cụ thể có 2 thủ tục hành chính được sửa đổi, bổ sung gồm: Cấp Giấy chứng nhận quốc tế về an ninh tàu biển theo Bộ luật Quốc tế về an ninh tàu biển và cảng biển (Bộ luật ISPS) và Phê duyệt kế hoạch an ninh tàu biển theo Bộ luật Quốc tế về an ninh tàu bi</w:t>
      </w:r>
      <w:r>
        <w:rPr>
          <w:rFonts w:eastAsia="Times New Roman" w:cs="Times New Roman"/>
          <w:color w:val="333333"/>
          <w:szCs w:val="28"/>
        </w:rPr>
        <w:t>ển và cảng biển (Bộ luật ISPS).</w:t>
      </w:r>
      <w:r w:rsidR="002E4D31" w:rsidRPr="002E4D31">
        <w:rPr>
          <w:rFonts w:eastAsia="Times New Roman" w:cs="Times New Roman"/>
          <w:color w:val="333333"/>
          <w:szCs w:val="28"/>
        </w:rPr>
        <w:t>Thủ tục hành chính được bãi bỏ trong lĩnh vực đăng kiểm thuộc phạm vi chức năng quản lý của Bộ GTVT là Cấp Giấy chứng nhận huấn luyện nghiệp vụ sỹ quan an ninh tàu, cán bộ an ninh công ty, theo Thông tư số 03/2024/TTBGTVT ngày 21/2/2024 của Bộ trưởng Bộ GTVT đổi, bổ sung một số điều của Thông tư số 27/2011/TT-BGTVT ngày 14/4/2011 của Bộ trưởng Bộ GTVT quy định về Áp dụng sửa đổi, bổ sung năm 2002 của Công ước quốc tế về an toàn sinh mạng con người trên biển năm 1974, ban hành kèm theo Bộ luật quốc tế về</w:t>
      </w:r>
      <w:r>
        <w:rPr>
          <w:rFonts w:eastAsia="Times New Roman" w:cs="Times New Roman"/>
          <w:color w:val="333333"/>
          <w:szCs w:val="28"/>
        </w:rPr>
        <w:t xml:space="preserve"> an ninh tàu biển và cảng biển. </w:t>
      </w:r>
      <w:r w:rsidR="002E4D31" w:rsidRPr="002E4D31">
        <w:rPr>
          <w:rFonts w:eastAsia="Times New Roman" w:cs="Times New Roman"/>
          <w:color w:val="333333"/>
          <w:szCs w:val="28"/>
        </w:rPr>
        <w:t>Quyết định có hiệu lực thi hành kể từ ngày 15/4/2024.</w:t>
      </w:r>
      <w:r>
        <w:rPr>
          <w:rFonts w:eastAsia="Times New Roman" w:cs="Times New Roman"/>
          <w:color w:val="333333"/>
          <w:szCs w:val="28"/>
        </w:rPr>
        <w:t>/.</w:t>
      </w:r>
    </w:p>
    <w:p w:rsidR="004E2F2C" w:rsidRPr="002E4D31" w:rsidRDefault="001B42FA" w:rsidP="002E4D31">
      <w:pPr>
        <w:ind w:firstLine="567"/>
        <w:jc w:val="both"/>
        <w:rPr>
          <w:rFonts w:cs="Times New Roman"/>
          <w:szCs w:val="28"/>
        </w:rPr>
      </w:pPr>
      <w:bookmarkStart w:id="0" w:name="_GoBack"/>
      <w:bookmarkEnd w:id="0"/>
    </w:p>
    <w:sectPr w:rsidR="004E2F2C" w:rsidRPr="002E4D31" w:rsidSect="00121249">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31"/>
    <w:rsid w:val="00121249"/>
    <w:rsid w:val="001B42FA"/>
    <w:rsid w:val="002E4D31"/>
    <w:rsid w:val="007C6AF3"/>
    <w:rsid w:val="00C764A4"/>
    <w:rsid w:val="00DC73DF"/>
    <w:rsid w:val="00EF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83F18-0D24-4235-901E-70710E7C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4D31"/>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2E4D3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D31"/>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2E4D31"/>
    <w:rPr>
      <w:rFonts w:eastAsia="Times New Roman" w:cs="Times New Roman"/>
      <w:b/>
      <w:bCs/>
      <w:sz w:val="27"/>
      <w:szCs w:val="27"/>
    </w:rPr>
  </w:style>
  <w:style w:type="character" w:customStyle="1" w:styleId="date">
    <w:name w:val="date"/>
    <w:basedOn w:val="DefaultParagraphFont"/>
    <w:rsid w:val="002E4D31"/>
  </w:style>
  <w:style w:type="character" w:styleId="Strong">
    <w:name w:val="Strong"/>
    <w:basedOn w:val="DefaultParagraphFont"/>
    <w:uiPriority w:val="22"/>
    <w:qFormat/>
    <w:rsid w:val="002E4D31"/>
    <w:rPr>
      <w:b/>
      <w:bCs/>
    </w:rPr>
  </w:style>
  <w:style w:type="paragraph" w:styleId="ListParagraph">
    <w:name w:val="List Paragraph"/>
    <w:basedOn w:val="Normal"/>
    <w:uiPriority w:val="34"/>
    <w:qFormat/>
    <w:rsid w:val="002E4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42659">
      <w:bodyDiv w:val="1"/>
      <w:marLeft w:val="0"/>
      <w:marRight w:val="0"/>
      <w:marTop w:val="0"/>
      <w:marBottom w:val="0"/>
      <w:divBdr>
        <w:top w:val="none" w:sz="0" w:space="0" w:color="auto"/>
        <w:left w:val="none" w:sz="0" w:space="0" w:color="auto"/>
        <w:bottom w:val="none" w:sz="0" w:space="0" w:color="auto"/>
        <w:right w:val="none" w:sz="0" w:space="0" w:color="auto"/>
      </w:divBdr>
      <w:divsChild>
        <w:div w:id="77189891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NOIHOANG Co.,LTD</Company>
  <LinksUpToDate>false</LinksUpToDate>
  <CharactersWithSpaces>12107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Hoangnoi@gmail.com</dc:creator>
  <cp:keywords/>
  <dc:description/>
  <cp:lastModifiedBy>Hoangnoi@gmail.com</cp:lastModifiedBy>
  <cp:revision>1</cp:revision>
  <dcterms:created xsi:type="dcterms:W3CDTF">2024-04-16T08:09:00Z</dcterms:created>
  <dcterms:modified xsi:type="dcterms:W3CDTF">2024-04-16T08:34:00Z</dcterms:modified>
</cp:coreProperties>
</file>